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Hagfors kommunfullmäktige</w:t>
      </w:r>
    </w:p>
    <w:p>
      <w:pPr>
        <w:pStyle w:val="Heading1"/>
      </w:pPr>
      <w:r>
        <w:t xml:space="preserve">Kunskap först – mobilförbud och ökad studiero i Hagfors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Hagfors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Hagfors skolors meritvärde ligger på 78,4 (Kolada 2024), under rikssnittet. Elever och lärare rapporterar om störningar från mobiltelefoner. Ett mobilförbud under lektionstid har visat positiva resultat i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Hagfors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inför mobilförbud under all undervisningstid i kommunens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ges i uppdrag att ta fram gemensamma riktlinjer för studiero.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extra resurser avsätts för läxhjälp och läslustprojekt i årskurs 4–6.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skolresultaten följs upp kvartalsvis och redovisas för barn- och utbildningsnämnden.</w:t>
      </w:r>
    </w:p>
    <w:p>
      <w:pPr>
        <w:spacing w:before="360"/>
      </w:pPr>
    </w:p>
    <w:p>
      <w:r>
        <w:t xml:space="preserve">Hagfors,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Hagfors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2026-06-06T01:48:22.801Z</dcterms:created>
  <dcterms:modified xsi:type="dcterms:W3CDTF">2026-06-06T01:48:22.801Z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